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E54" w:rsidRPr="00446F9D" w:rsidRDefault="00A85E54" w:rsidP="00A85E54">
      <w:pPr>
        <w:pStyle w:val="Header"/>
        <w:tabs>
          <w:tab w:val="clear" w:pos="4536"/>
        </w:tabs>
        <w:rPr>
          <w:i/>
        </w:rPr>
      </w:pPr>
      <w:bookmarkStart w:id="0" w:name="_GoBack"/>
      <w:bookmarkEnd w:id="0"/>
      <w:r w:rsidRPr="00446F9D">
        <w:t>TSG-RAN WG1 #</w:t>
      </w:r>
      <w:r w:rsidR="00C75368">
        <w:t>86</w:t>
      </w:r>
      <w:r w:rsidRPr="00446F9D">
        <w:tab/>
        <w:t>R1-</w:t>
      </w:r>
      <w:r>
        <w:t>16</w:t>
      </w:r>
      <w:r w:rsidR="00A73B72">
        <w:t>7457</w:t>
      </w:r>
    </w:p>
    <w:p w:rsidR="00A85E54" w:rsidRPr="000833FA" w:rsidRDefault="00C75368" w:rsidP="00A85E54">
      <w:pPr>
        <w:pStyle w:val="Header"/>
        <w:rPr>
          <w:color w:val="000000"/>
        </w:rPr>
      </w:pPr>
      <w:r>
        <w:t>Gothenburg, Sweden, August 22 – 26, 2016</w:t>
      </w:r>
    </w:p>
    <w:p w:rsidR="00A85E54" w:rsidRPr="000833FA" w:rsidRDefault="00A85E54" w:rsidP="00A85E54">
      <w:pPr>
        <w:pStyle w:val="Header"/>
      </w:pPr>
    </w:p>
    <w:p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0D0FEF">
        <w:rPr>
          <w:lang w:eastAsia="ja-JP"/>
        </w:rPr>
        <w:t>Remaining issued on the</w:t>
      </w:r>
      <w:r w:rsidR="00E27865" w:rsidRPr="00E27865">
        <w:rPr>
          <w:lang w:eastAsia="ja-JP"/>
        </w:rPr>
        <w:t xml:space="preserve"> indoor office scenario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2" w:name="Source"/>
      <w:bookmarkEnd w:id="2"/>
      <w:r w:rsidRPr="0003368D">
        <w:tab/>
      </w:r>
      <w:r w:rsidR="00E27865">
        <w:t>8.1.7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17779E" w:rsidRDefault="0017779E" w:rsidP="00FE5799">
      <w:pPr>
        <w:pStyle w:val="Heading1"/>
        <w:spacing w:before="180"/>
        <w:ind w:left="562" w:hanging="562"/>
      </w:pPr>
      <w:r>
        <w:t>Introduction</w:t>
      </w:r>
    </w:p>
    <w:p w:rsidR="00404279" w:rsidRDefault="00404279" w:rsidP="009F1873">
      <w:pPr>
        <w:pStyle w:val="BodyText"/>
      </w:pPr>
      <w:r>
        <w:t>At the previous RAN1 meeting, an evaluation assumption way forward document [1] on antenna placements in indoor scenarios was agreed. There are four alternative indoor deployments for the open office scenario:</w:t>
      </w:r>
    </w:p>
    <w:p w:rsidR="00404279" w:rsidRDefault="00404279" w:rsidP="00C2299B">
      <w:pPr>
        <w:pStyle w:val="BodyText"/>
        <w:numPr>
          <w:ilvl w:val="0"/>
          <w:numId w:val="16"/>
        </w:numPr>
      </w:pPr>
      <w:r>
        <w:t xml:space="preserve">Single sector </w:t>
      </w:r>
      <w:proofErr w:type="spellStart"/>
      <w:r>
        <w:t>omni</w:t>
      </w:r>
      <w:proofErr w:type="spellEnd"/>
      <w:r w:rsidR="00C2299B">
        <w:t>-directional pattern</w:t>
      </w:r>
      <w:r>
        <w:t xml:space="preserve"> in azimuth</w:t>
      </w:r>
      <w:r w:rsidR="00C2299B">
        <w:t xml:space="preserve"> (130 degree HPBW in </w:t>
      </w:r>
      <w:r w:rsidR="009F1B90">
        <w:t>zenith</w:t>
      </w:r>
      <w:r w:rsidR="00C2299B">
        <w:t xml:space="preserve"> direction)</w:t>
      </w:r>
    </w:p>
    <w:p w:rsidR="00404279" w:rsidRDefault="00404279" w:rsidP="00C2299B">
      <w:pPr>
        <w:pStyle w:val="BodyText"/>
        <w:numPr>
          <w:ilvl w:val="0"/>
          <w:numId w:val="16"/>
        </w:numPr>
      </w:pPr>
      <w:r>
        <w:t xml:space="preserve">Three sector </w:t>
      </w:r>
      <w:r w:rsidR="00C2299B">
        <w:t>in azimuth (65 degree HPBW in azimuth and zenith)</w:t>
      </w:r>
    </w:p>
    <w:p w:rsidR="00C2299B" w:rsidRDefault="00C2299B" w:rsidP="00404279">
      <w:pPr>
        <w:pStyle w:val="BodyText"/>
        <w:numPr>
          <w:ilvl w:val="0"/>
          <w:numId w:val="16"/>
        </w:numPr>
      </w:pPr>
      <w:r>
        <w:t>Wall mounted antenna. Single sector (90 degree HPBW in azimuth and zenith)</w:t>
      </w:r>
    </w:p>
    <w:p w:rsidR="00404279" w:rsidRDefault="00C2299B" w:rsidP="009F1873">
      <w:pPr>
        <w:pStyle w:val="BodyText"/>
        <w:numPr>
          <w:ilvl w:val="0"/>
          <w:numId w:val="16"/>
        </w:numPr>
      </w:pPr>
      <w:r>
        <w:t xml:space="preserve">Ceiling mounted. </w:t>
      </w:r>
      <w:r w:rsidR="009F1B90">
        <w:t>(130 degree HPBW in azimuth and zenith)</w:t>
      </w:r>
    </w:p>
    <w:p w:rsidR="009F1B90" w:rsidRDefault="009F1B90" w:rsidP="009F1B90">
      <w:pPr>
        <w:pStyle w:val="BodyText"/>
        <w:ind w:left="720"/>
      </w:pPr>
    </w:p>
    <w:p w:rsidR="009F1873" w:rsidRDefault="00404279" w:rsidP="009F1873">
      <w:pPr>
        <w:pStyle w:val="BodyText"/>
      </w:pPr>
      <w:r>
        <w:t>This document contains a couple of FFSs as follows:</w:t>
      </w:r>
    </w:p>
    <w:p w:rsidR="00404279" w:rsidRDefault="00404279" w:rsidP="009F1B90">
      <w:pPr>
        <w:pStyle w:val="BodyText"/>
        <w:numPr>
          <w:ilvl w:val="1"/>
          <w:numId w:val="13"/>
        </w:numPr>
        <w:tabs>
          <w:tab w:val="clear" w:pos="1440"/>
          <w:tab w:val="num" w:pos="426"/>
        </w:tabs>
        <w:ind w:left="709" w:hanging="283"/>
      </w:pPr>
      <w:r w:rsidRPr="00404279">
        <w:rPr>
          <w:b/>
          <w:bCs/>
          <w:lang w:val="en-GB"/>
        </w:rPr>
        <w:t>Issue 1:</w:t>
      </w:r>
      <w:r w:rsidRPr="00404279">
        <w:rPr>
          <w:lang w:val="en-GB"/>
        </w:rPr>
        <w:t xml:space="preserve"> </w:t>
      </w:r>
      <w:r w:rsidRPr="00F154B3">
        <w:t>Brackets on direction</w:t>
      </w:r>
      <w:r>
        <w:t>al</w:t>
      </w:r>
      <w:r w:rsidRPr="00F154B3">
        <w:t xml:space="preserve"> antenna </w:t>
      </w:r>
      <w:r>
        <w:t xml:space="preserve">element </w:t>
      </w:r>
      <w:r w:rsidR="00A21E98">
        <w:t>gain</w:t>
      </w:r>
      <w:r w:rsidRPr="00F154B3">
        <w:t xml:space="preserve"> </w:t>
      </w:r>
    </w:p>
    <w:p w:rsidR="00404279" w:rsidRPr="00404279" w:rsidRDefault="00404279" w:rsidP="009F1B90">
      <w:pPr>
        <w:pStyle w:val="BodyText"/>
        <w:numPr>
          <w:ilvl w:val="1"/>
          <w:numId w:val="13"/>
        </w:numPr>
        <w:tabs>
          <w:tab w:val="clear" w:pos="1440"/>
          <w:tab w:val="num" w:pos="426"/>
        </w:tabs>
        <w:ind w:left="709" w:hanging="283"/>
      </w:pPr>
      <w:r>
        <w:rPr>
          <w:b/>
          <w:bCs/>
          <w:lang w:val="en-GB"/>
        </w:rPr>
        <w:t xml:space="preserve">Issue 2: </w:t>
      </w:r>
      <w:r w:rsidRPr="00404279">
        <w:rPr>
          <w:bCs/>
          <w:lang w:val="en-GB"/>
        </w:rPr>
        <w:t>Electrical tilt</w:t>
      </w:r>
    </w:p>
    <w:p w:rsidR="00FA3EF4" w:rsidRPr="009F1B90" w:rsidRDefault="00A73B72" w:rsidP="009F1B90">
      <w:pPr>
        <w:pStyle w:val="BodyText"/>
      </w:pPr>
      <w:r>
        <w:rPr>
          <w:bCs/>
          <w:lang w:val="en-GB"/>
        </w:rPr>
        <w:t>We give our view on these two</w:t>
      </w:r>
      <w:r w:rsidR="009F1B90" w:rsidRPr="009F1B90">
        <w:rPr>
          <w:bCs/>
          <w:lang w:val="en-GB"/>
        </w:rPr>
        <w:t xml:space="preserve"> issues</w:t>
      </w:r>
      <w:r w:rsidR="009F1B90" w:rsidRPr="009F1B90">
        <w:t xml:space="preserve"> below.</w:t>
      </w:r>
      <w:r w:rsidR="00404279" w:rsidRPr="009F1B90">
        <w:t xml:space="preserve">  </w:t>
      </w:r>
    </w:p>
    <w:p w:rsidR="00FE5799" w:rsidRDefault="00037C51" w:rsidP="00FE5799">
      <w:pPr>
        <w:pStyle w:val="Heading1"/>
        <w:spacing w:before="180"/>
        <w:ind w:left="562" w:hanging="562"/>
      </w:pPr>
      <w:r>
        <w:t>Discussion</w:t>
      </w:r>
    </w:p>
    <w:p w:rsidR="00A21E98" w:rsidRDefault="00A21E98" w:rsidP="00A21E98">
      <w:pPr>
        <w:pStyle w:val="BodyText"/>
      </w:pPr>
      <w:r>
        <w:t>C</w:t>
      </w:r>
      <w:r w:rsidRPr="00A21E98">
        <w:t xml:space="preserve">eiling </w:t>
      </w:r>
      <w:r w:rsidR="00A73B72">
        <w:t xml:space="preserve">or wall </w:t>
      </w:r>
      <w:r w:rsidRPr="00A21E98">
        <w:t>mounted antennas are by far most commonly used for indoor systems. Ceiling mounting offers much more flexibility in placing the antennas, especially in open offices</w:t>
      </w:r>
      <w:r w:rsidR="00A73B72">
        <w:t xml:space="preserve"> while wall mounted could be used in closed offices</w:t>
      </w:r>
      <w:r>
        <w:t>. W</w:t>
      </w:r>
      <w:r w:rsidRPr="00A21E98">
        <w:t>e might need substantial beamforming gains</w:t>
      </w:r>
      <w:r>
        <w:t xml:space="preserve"> especially at higher carrier frequencies</w:t>
      </w:r>
      <w:r w:rsidRPr="00A21E98">
        <w:t xml:space="preserve"> to achieve </w:t>
      </w:r>
      <w:proofErr w:type="gramStart"/>
      <w:r w:rsidRPr="00A21E98">
        <w:t>a certain</w:t>
      </w:r>
      <w:proofErr w:type="gramEnd"/>
      <w:r w:rsidRPr="00A21E98">
        <w:t xml:space="preserve"> coverage per antenna location. In this case, we patch antenna arrays</w:t>
      </w:r>
      <w:r>
        <w:t xml:space="preserve"> is likely to be used</w:t>
      </w:r>
      <w:r w:rsidRPr="00A21E98">
        <w:t xml:space="preserve"> and to get those ready for ceiling mounting, the best way </w:t>
      </w:r>
      <w:r>
        <w:t>could</w:t>
      </w:r>
      <w:r w:rsidRPr="00A21E98">
        <w:t xml:space="preserve"> be to configure them as kind of 3 sector array</w:t>
      </w:r>
      <w:r>
        <w:t xml:space="preserve">. </w:t>
      </w:r>
      <w:r w:rsidRPr="00A21E98">
        <w:t>For ceiling mounted deployment omnidir</w:t>
      </w:r>
      <w:r>
        <w:t xml:space="preserve">ectional radiation is desirable and such </w:t>
      </w:r>
      <w:r w:rsidRPr="00A21E98">
        <w:t>“</w:t>
      </w:r>
      <w:proofErr w:type="spellStart"/>
      <w:r w:rsidRPr="00A21E98">
        <w:t>omni</w:t>
      </w:r>
      <w:proofErr w:type="spellEnd"/>
      <w:r w:rsidRPr="00A21E98">
        <w:t xml:space="preserve">” antenna </w:t>
      </w:r>
      <w:r>
        <w:t xml:space="preserve">is </w:t>
      </w:r>
      <w:r w:rsidRPr="00A21E98">
        <w:t>resembled by 3 arrays of patch antenna elements, facing 3 different azimuths</w:t>
      </w:r>
    </w:p>
    <w:p w:rsidR="00A21E98" w:rsidRDefault="00A21E98" w:rsidP="00A21E98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7E0CBDBD" wp14:editId="49D80664">
            <wp:extent cx="1359281" cy="1619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719" cy="16221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21E98" w:rsidRDefault="00A21E98" w:rsidP="00A21E9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A model of a 3 sector ceiling mounted indoor antenna with patch antennas</w:t>
      </w:r>
    </w:p>
    <w:p w:rsidR="0000430C" w:rsidRDefault="00A21E98" w:rsidP="009F1B90">
      <w:pPr>
        <w:pStyle w:val="BodyText"/>
      </w:pPr>
      <w:r>
        <w:t xml:space="preserve">An antenna element </w:t>
      </w:r>
      <w:r w:rsidR="003F30F3">
        <w:t>gain of 8</w:t>
      </w:r>
      <w:r>
        <w:t xml:space="preserve"> </w:t>
      </w:r>
      <w:proofErr w:type="spellStart"/>
      <w:r>
        <w:t>dBi</w:t>
      </w:r>
      <w:proofErr w:type="spellEnd"/>
      <w:r>
        <w:t xml:space="preserve"> is reasonable and commonly used for such patch antenna element</w:t>
      </w:r>
      <w:r w:rsidR="003F30F3">
        <w:t xml:space="preserve"> with 65 degree HPBW in both azimuth and </w:t>
      </w:r>
      <w:proofErr w:type="spellStart"/>
      <w:r w:rsidR="003F30F3">
        <w:t>horisontal</w:t>
      </w:r>
      <w:proofErr w:type="spellEnd"/>
      <w:r>
        <w:t>. Hence our proposal is to prioritize alternative</w:t>
      </w:r>
      <w:r w:rsidR="003F30F3">
        <w:t xml:space="preserve"> 2</w:t>
      </w:r>
      <w:r>
        <w:t xml:space="preserve"> </w:t>
      </w:r>
      <w:r w:rsidR="00A73B72">
        <w:t xml:space="preserve">and 3 </w:t>
      </w:r>
      <w:r>
        <w:t xml:space="preserve">for the evaluation of indoor </w:t>
      </w:r>
      <w:r w:rsidR="003F30F3">
        <w:t>office scenario. Moreover, the electrical tilt needs careful selection to tune the system performance and as done in e.g. Rel-12 FD-MIMO SI for LTE, we can leave this up to each company to decide (and declare), while we use a default tilt, e.g. 100 degrees, for calibration among companies.</w:t>
      </w:r>
    </w:p>
    <w:p w:rsidR="0000430C" w:rsidRDefault="0000430C" w:rsidP="009F1B90">
      <w:pPr>
        <w:pStyle w:val="BodyText"/>
      </w:pPr>
      <w:r>
        <w:t xml:space="preserve">For the brackets on antenna gain in alternative 1, it is useful to first note that a dipole with </w:t>
      </w:r>
      <w:proofErr w:type="spellStart"/>
      <w:r>
        <w:t>omni</w:t>
      </w:r>
      <w:proofErr w:type="spellEnd"/>
      <w:r>
        <w:t xml:space="preserve"> + 80 degree HPBW in the two directions have an approximately 2 </w:t>
      </w:r>
      <w:proofErr w:type="spellStart"/>
      <w:r>
        <w:t>dBi</w:t>
      </w:r>
      <w:proofErr w:type="spellEnd"/>
      <w:r>
        <w:t xml:space="preserve"> antenna gain. Hence, if a 130 degree HPBW is used, then the antenna gain would be even lower than 2 dB, </w:t>
      </w:r>
      <w:r w:rsidR="00E11C13">
        <w:t xml:space="preserve">closer to 1 dB. </w:t>
      </w:r>
    </w:p>
    <w:p w:rsidR="00404279" w:rsidRDefault="00E11C13" w:rsidP="00404279">
      <w:pPr>
        <w:pStyle w:val="BodyText"/>
      </w:pPr>
      <w:r>
        <w:lastRenderedPageBreak/>
        <w:t xml:space="preserve">Also, in alternative 4, the antenna gain of such antenna is likely much lower than the bracketed </w:t>
      </w:r>
      <w:proofErr w:type="gramStart"/>
      <w:r>
        <w:t xml:space="preserve">values of 5 </w:t>
      </w:r>
      <w:proofErr w:type="spellStart"/>
      <w:r>
        <w:t>dBi</w:t>
      </w:r>
      <w:proofErr w:type="spellEnd"/>
      <w:r>
        <w:t xml:space="preserve"> since 130 degrees is</w:t>
      </w:r>
      <w:proofErr w:type="gramEnd"/>
      <w:r>
        <w:t xml:space="preserve"> used in both azimuth and horizontal. Comparing to alternative 2 which has 65+65 degree HPBW, the antenna gain would roughly be 6 dB </w:t>
      </w:r>
      <w:proofErr w:type="gramStart"/>
      <w:r>
        <w:t>lower,</w:t>
      </w:r>
      <w:proofErr w:type="gramEnd"/>
      <w:r>
        <w:t xml:space="preserve"> hence 2 dB is a more reasonable value.</w:t>
      </w:r>
    </w:p>
    <w:p w:rsidR="003F30F3" w:rsidRDefault="003F30F3" w:rsidP="00404279">
      <w:pPr>
        <w:pStyle w:val="Heading1"/>
        <w:spacing w:before="180"/>
        <w:ind w:left="562" w:hanging="562"/>
      </w:pPr>
      <w:r>
        <w:t>Proposal</w:t>
      </w:r>
      <w:r w:rsidR="00E11C13">
        <w:t>s</w:t>
      </w:r>
    </w:p>
    <w:p w:rsidR="003F30F3" w:rsidRDefault="003F30F3" w:rsidP="003F30F3">
      <w:pPr>
        <w:pStyle w:val="BodyText"/>
      </w:pPr>
      <w:r>
        <w:t>As a first hand choice when performing indoor evaluations, use Alt.2</w:t>
      </w:r>
      <w:r w:rsidR="00A73B72">
        <w:t xml:space="preserve"> or Alt.3</w:t>
      </w:r>
      <w:r>
        <w:t xml:space="preserve"> from [1]</w:t>
      </w:r>
      <w:r w:rsidR="00A73B72">
        <w:t>. The FFS are</w:t>
      </w:r>
      <w:r>
        <w:t xml:space="preserve"> summarized below:</w:t>
      </w:r>
    </w:p>
    <w:p w:rsidR="003F30F3" w:rsidRDefault="003F30F3" w:rsidP="00A73B72">
      <w:pPr>
        <w:pStyle w:val="BodyText"/>
        <w:numPr>
          <w:ilvl w:val="0"/>
          <w:numId w:val="17"/>
        </w:numPr>
      </w:pPr>
      <w:r w:rsidRPr="003F30F3">
        <w:t xml:space="preserve">Electrical tilting is </w:t>
      </w:r>
      <w:r>
        <w:t>up to each company to decide/optimize, but 110 degrees can be a baseline for calibration</w:t>
      </w:r>
    </w:p>
    <w:p w:rsidR="00E11C13" w:rsidRDefault="00E11C13" w:rsidP="00E11C13">
      <w:pPr>
        <w:pStyle w:val="BodyText"/>
        <w:numPr>
          <w:ilvl w:val="0"/>
          <w:numId w:val="17"/>
        </w:numPr>
      </w:pPr>
      <w:r>
        <w:t>For Alt.1 use 1 dB antenna element gain</w:t>
      </w:r>
    </w:p>
    <w:p w:rsidR="003F30F3" w:rsidRPr="003F30F3" w:rsidRDefault="00E11C13" w:rsidP="003F30F3">
      <w:pPr>
        <w:pStyle w:val="BodyText"/>
        <w:numPr>
          <w:ilvl w:val="0"/>
          <w:numId w:val="17"/>
        </w:numPr>
      </w:pPr>
      <w:r>
        <w:t>For Alt.4, use 2 dB antenna element gain.</w:t>
      </w:r>
    </w:p>
    <w:p w:rsidR="00404279" w:rsidRPr="00404279" w:rsidRDefault="00404279" w:rsidP="00404279">
      <w:pPr>
        <w:pStyle w:val="Heading1"/>
        <w:spacing w:before="180"/>
        <w:ind w:left="562" w:hanging="562"/>
      </w:pPr>
      <w:r>
        <w:t>References</w:t>
      </w:r>
    </w:p>
    <w:p w:rsidR="00BA76BC" w:rsidRPr="00BA76BC" w:rsidRDefault="00404279" w:rsidP="00BA76BC">
      <w:pPr>
        <w:pStyle w:val="BodyText"/>
      </w:pPr>
      <w:r>
        <w:t xml:space="preserve">[1] </w:t>
      </w:r>
      <w:r w:rsidRPr="00404279">
        <w:t>R1-165850</w:t>
      </w:r>
      <w:r w:rsidRPr="00404279">
        <w:tab/>
        <w:t>WF on antenna placement in Indoor scenarios</w:t>
      </w:r>
      <w:r w:rsidRPr="00404279">
        <w:tab/>
        <w:t>Intel, NTT DoCoMo, Samsung, Ericsson</w:t>
      </w:r>
    </w:p>
    <w:sectPr w:rsidR="00BA76BC" w:rsidRPr="00BA76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99B" w:rsidRDefault="007F499B">
      <w:r>
        <w:separator/>
      </w:r>
    </w:p>
  </w:endnote>
  <w:endnote w:type="continuationSeparator" w:id="0">
    <w:p w:rsidR="007F499B" w:rsidRDefault="007F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526" w:rsidRDefault="0095752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526" w:rsidRDefault="0095752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526" w:rsidRDefault="009575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99B" w:rsidRDefault="007F499B">
      <w:r>
        <w:separator/>
      </w:r>
    </w:p>
  </w:footnote>
  <w:footnote w:type="continuationSeparator" w:id="0">
    <w:p w:rsidR="007F499B" w:rsidRDefault="007F4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526" w:rsidRDefault="0095752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F57" w:rsidRDefault="007F499B" w:rsidP="00A61E6C">
    <w:pPr>
      <w:pStyle w:val="Header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526" w:rsidRDefault="009575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44B10"/>
    <w:multiLevelType w:val="hybridMultilevel"/>
    <w:tmpl w:val="B4606F90"/>
    <w:lvl w:ilvl="0" w:tplc="815AB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F057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CECF1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72B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20E1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366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61E1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C20C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D0004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5785FF7"/>
    <w:multiLevelType w:val="hybridMultilevel"/>
    <w:tmpl w:val="8DA80D16"/>
    <w:lvl w:ilvl="0" w:tplc="69AEC4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F2EE5A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8FC6C9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DD0E03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B99652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53ED01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BE8A5C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E0A63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4E4632C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505FB8"/>
    <w:multiLevelType w:val="hybridMultilevel"/>
    <w:tmpl w:val="C8F03238"/>
    <w:lvl w:ilvl="0" w:tplc="E770357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967FC4">
      <w:start w:val="11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E4A7BC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40EF2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0CE85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E2AB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6D4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76550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96C7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3D7384"/>
    <w:multiLevelType w:val="hybridMultilevel"/>
    <w:tmpl w:val="9D4CEC60"/>
    <w:lvl w:ilvl="0" w:tplc="D3167E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26A78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DD0A95A">
      <w:start w:val="1500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6DC2046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F2C07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05D869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63035D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A7834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2CB200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2F1335"/>
    <w:multiLevelType w:val="hybridMultilevel"/>
    <w:tmpl w:val="0262C130"/>
    <w:lvl w:ilvl="0" w:tplc="D6B6A57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D5044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FD62D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99825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C88A4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360CBF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65CB8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9B2BF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6348E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0">
    <w:nsid w:val="448C7E4A"/>
    <w:multiLevelType w:val="hybridMultilevel"/>
    <w:tmpl w:val="7E2A70D4"/>
    <w:lvl w:ilvl="0" w:tplc="F9D856F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D6C48E">
      <w:start w:val="1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4426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98CAE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E2412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0819C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8CACD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8A8E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A2E0F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E970E0B"/>
    <w:multiLevelType w:val="hybridMultilevel"/>
    <w:tmpl w:val="E026A52A"/>
    <w:lvl w:ilvl="0" w:tplc="E0AA7D3A">
      <w:start w:val="1"/>
      <w:numFmt w:val="bullet"/>
      <w:lvlText w:val="›"/>
      <w:lvlJc w:val="left"/>
      <w:pPr>
        <w:tabs>
          <w:tab w:val="num" w:pos="1642"/>
        </w:tabs>
        <w:ind w:left="1642" w:hanging="360"/>
      </w:pPr>
      <w:rPr>
        <w:rFonts w:ascii="Arial" w:hAnsi="Arial" w:hint="default"/>
      </w:rPr>
    </w:lvl>
    <w:lvl w:ilvl="1" w:tplc="8F70204C">
      <w:start w:val="1126"/>
      <w:numFmt w:val="bullet"/>
      <w:lvlText w:val="–"/>
      <w:lvlJc w:val="left"/>
      <w:pPr>
        <w:tabs>
          <w:tab w:val="num" w:pos="2362"/>
        </w:tabs>
        <w:ind w:left="2362" w:hanging="360"/>
      </w:pPr>
      <w:rPr>
        <w:rFonts w:ascii="Ericsson Capital TT" w:hAnsi="Ericsson Capital TT" w:hint="default"/>
      </w:rPr>
    </w:lvl>
    <w:lvl w:ilvl="2" w:tplc="498E3EA0" w:tentative="1">
      <w:start w:val="1"/>
      <w:numFmt w:val="bullet"/>
      <w:lvlText w:val="›"/>
      <w:lvlJc w:val="left"/>
      <w:pPr>
        <w:tabs>
          <w:tab w:val="num" w:pos="3082"/>
        </w:tabs>
        <w:ind w:left="3082" w:hanging="360"/>
      </w:pPr>
      <w:rPr>
        <w:rFonts w:ascii="Arial" w:hAnsi="Arial" w:hint="default"/>
      </w:rPr>
    </w:lvl>
    <w:lvl w:ilvl="3" w:tplc="D870CDA2" w:tentative="1">
      <w:start w:val="1"/>
      <w:numFmt w:val="bullet"/>
      <w:lvlText w:val="›"/>
      <w:lvlJc w:val="left"/>
      <w:pPr>
        <w:tabs>
          <w:tab w:val="num" w:pos="3802"/>
        </w:tabs>
        <w:ind w:left="3802" w:hanging="360"/>
      </w:pPr>
      <w:rPr>
        <w:rFonts w:ascii="Arial" w:hAnsi="Arial" w:hint="default"/>
      </w:rPr>
    </w:lvl>
    <w:lvl w:ilvl="4" w:tplc="7E2CF4B6" w:tentative="1">
      <w:start w:val="1"/>
      <w:numFmt w:val="bullet"/>
      <w:lvlText w:val="›"/>
      <w:lvlJc w:val="left"/>
      <w:pPr>
        <w:tabs>
          <w:tab w:val="num" w:pos="4522"/>
        </w:tabs>
        <w:ind w:left="4522" w:hanging="360"/>
      </w:pPr>
      <w:rPr>
        <w:rFonts w:ascii="Arial" w:hAnsi="Arial" w:hint="default"/>
      </w:rPr>
    </w:lvl>
    <w:lvl w:ilvl="5" w:tplc="6BC6E1DE" w:tentative="1">
      <w:start w:val="1"/>
      <w:numFmt w:val="bullet"/>
      <w:lvlText w:val="›"/>
      <w:lvlJc w:val="left"/>
      <w:pPr>
        <w:tabs>
          <w:tab w:val="num" w:pos="5242"/>
        </w:tabs>
        <w:ind w:left="5242" w:hanging="360"/>
      </w:pPr>
      <w:rPr>
        <w:rFonts w:ascii="Arial" w:hAnsi="Arial" w:hint="default"/>
      </w:rPr>
    </w:lvl>
    <w:lvl w:ilvl="6" w:tplc="ACA488CE" w:tentative="1">
      <w:start w:val="1"/>
      <w:numFmt w:val="bullet"/>
      <w:lvlText w:val="›"/>
      <w:lvlJc w:val="left"/>
      <w:pPr>
        <w:tabs>
          <w:tab w:val="num" w:pos="5962"/>
        </w:tabs>
        <w:ind w:left="5962" w:hanging="360"/>
      </w:pPr>
      <w:rPr>
        <w:rFonts w:ascii="Arial" w:hAnsi="Arial" w:hint="default"/>
      </w:rPr>
    </w:lvl>
    <w:lvl w:ilvl="7" w:tplc="ADB8DC86" w:tentative="1">
      <w:start w:val="1"/>
      <w:numFmt w:val="bullet"/>
      <w:lvlText w:val="›"/>
      <w:lvlJc w:val="left"/>
      <w:pPr>
        <w:tabs>
          <w:tab w:val="num" w:pos="6682"/>
        </w:tabs>
        <w:ind w:left="6682" w:hanging="360"/>
      </w:pPr>
      <w:rPr>
        <w:rFonts w:ascii="Arial" w:hAnsi="Arial" w:hint="default"/>
      </w:rPr>
    </w:lvl>
    <w:lvl w:ilvl="8" w:tplc="C14408E0" w:tentative="1">
      <w:start w:val="1"/>
      <w:numFmt w:val="bullet"/>
      <w:lvlText w:val="›"/>
      <w:lvlJc w:val="left"/>
      <w:pPr>
        <w:tabs>
          <w:tab w:val="num" w:pos="7402"/>
        </w:tabs>
        <w:ind w:left="7402" w:hanging="360"/>
      </w:pPr>
      <w:rPr>
        <w:rFonts w:ascii="Arial" w:hAnsi="Arial" w:hint="default"/>
      </w:rPr>
    </w:lvl>
  </w:abstractNum>
  <w:abstractNum w:abstractNumId="12">
    <w:nsid w:val="62E23E49"/>
    <w:multiLevelType w:val="hybridMultilevel"/>
    <w:tmpl w:val="5D4A5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EB1EA2"/>
    <w:multiLevelType w:val="hybridMultilevel"/>
    <w:tmpl w:val="B672A826"/>
    <w:lvl w:ilvl="0" w:tplc="37540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6A9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2ACE9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609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108F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C46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F412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DA3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1E0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4536"/>
        </w:tabs>
        <w:ind w:left="4536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13"/>
  </w:num>
  <w:num w:numId="8">
    <w:abstractNumId w:val="15"/>
  </w:num>
  <w:num w:numId="9">
    <w:abstractNumId w:val="7"/>
  </w:num>
  <w:num w:numId="10">
    <w:abstractNumId w:val="11"/>
  </w:num>
  <w:num w:numId="11">
    <w:abstractNumId w:val="4"/>
  </w:num>
  <w:num w:numId="12">
    <w:abstractNumId w:val="10"/>
  </w:num>
  <w:num w:numId="13">
    <w:abstractNumId w:val="9"/>
  </w:num>
  <w:num w:numId="14">
    <w:abstractNumId w:val="1"/>
  </w:num>
  <w:num w:numId="15">
    <w:abstractNumId w:val="15"/>
  </w:num>
  <w:num w:numId="16">
    <w:abstractNumId w:val="12"/>
  </w:num>
  <w:num w:numId="17">
    <w:abstractNumId w:val="0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9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0430C"/>
    <w:rsid w:val="000217F8"/>
    <w:rsid w:val="00037C51"/>
    <w:rsid w:val="000A258F"/>
    <w:rsid w:val="000D0FEF"/>
    <w:rsid w:val="000D6F0F"/>
    <w:rsid w:val="000F4AF3"/>
    <w:rsid w:val="00112E18"/>
    <w:rsid w:val="00114B6A"/>
    <w:rsid w:val="00141448"/>
    <w:rsid w:val="00175D32"/>
    <w:rsid w:val="0017779E"/>
    <w:rsid w:val="00200020"/>
    <w:rsid w:val="0021013F"/>
    <w:rsid w:val="00290099"/>
    <w:rsid w:val="0032484B"/>
    <w:rsid w:val="003875A3"/>
    <w:rsid w:val="003D4D4E"/>
    <w:rsid w:val="003F30F3"/>
    <w:rsid w:val="00404279"/>
    <w:rsid w:val="00422F7B"/>
    <w:rsid w:val="004B57FD"/>
    <w:rsid w:val="004D6362"/>
    <w:rsid w:val="0055264E"/>
    <w:rsid w:val="005C439D"/>
    <w:rsid w:val="0061336B"/>
    <w:rsid w:val="00660D97"/>
    <w:rsid w:val="00670211"/>
    <w:rsid w:val="006A286A"/>
    <w:rsid w:val="0075384C"/>
    <w:rsid w:val="00770188"/>
    <w:rsid w:val="007A01C0"/>
    <w:rsid w:val="007A7B94"/>
    <w:rsid w:val="007F1A1D"/>
    <w:rsid w:val="007F499B"/>
    <w:rsid w:val="00834DE7"/>
    <w:rsid w:val="00835FF4"/>
    <w:rsid w:val="008B23D4"/>
    <w:rsid w:val="00957526"/>
    <w:rsid w:val="009A6BB8"/>
    <w:rsid w:val="009B2E48"/>
    <w:rsid w:val="009F1873"/>
    <w:rsid w:val="009F1B90"/>
    <w:rsid w:val="00A21E98"/>
    <w:rsid w:val="00A47015"/>
    <w:rsid w:val="00A617DA"/>
    <w:rsid w:val="00A725A6"/>
    <w:rsid w:val="00A73B72"/>
    <w:rsid w:val="00A81AA1"/>
    <w:rsid w:val="00A85E54"/>
    <w:rsid w:val="00AA13EF"/>
    <w:rsid w:val="00B368D9"/>
    <w:rsid w:val="00BA2CDD"/>
    <w:rsid w:val="00BA76BC"/>
    <w:rsid w:val="00C1560A"/>
    <w:rsid w:val="00C2299B"/>
    <w:rsid w:val="00C326A6"/>
    <w:rsid w:val="00C61496"/>
    <w:rsid w:val="00C75368"/>
    <w:rsid w:val="00C93774"/>
    <w:rsid w:val="00CE28B2"/>
    <w:rsid w:val="00CF2225"/>
    <w:rsid w:val="00CF2A21"/>
    <w:rsid w:val="00CF67BE"/>
    <w:rsid w:val="00D02349"/>
    <w:rsid w:val="00D03119"/>
    <w:rsid w:val="00D04257"/>
    <w:rsid w:val="00D1050E"/>
    <w:rsid w:val="00DA110D"/>
    <w:rsid w:val="00DB5939"/>
    <w:rsid w:val="00DE3421"/>
    <w:rsid w:val="00E11C13"/>
    <w:rsid w:val="00E27865"/>
    <w:rsid w:val="00E63D88"/>
    <w:rsid w:val="00F154B3"/>
    <w:rsid w:val="00F37D49"/>
    <w:rsid w:val="00FA3EF4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F30F3"/>
    <w:pPr>
      <w:spacing w:before="100" w:beforeAutospacing="1" w:after="100" w:afterAutospacing="1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F30F3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7970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97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11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16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786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4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366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3977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022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04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5307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63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514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371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746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070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3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33935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4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67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716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911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087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4790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805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613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488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2016-08-12T14:11:00Z</dcterms:created>
  <dcterms:modified xsi:type="dcterms:W3CDTF">2016-08-12T14:12:00Z</dcterms:modified>
</cp:coreProperties>
</file>